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8E4E5" w14:textId="032734B9" w:rsidR="00673D04" w:rsidRDefault="00673D04" w:rsidP="00A03816">
      <w:pPr>
        <w:pStyle w:val="CRCoverPage"/>
        <w:spacing w:after="0"/>
        <w:rPr>
          <w:b/>
          <w:bCs/>
          <w:sz w:val="24"/>
          <w:szCs w:val="24"/>
          <w:lang w:val="en-GB"/>
        </w:rPr>
      </w:pPr>
      <w:r>
        <w:rPr>
          <w:b/>
          <w:bCs/>
          <w:sz w:val="24"/>
          <w:szCs w:val="24"/>
          <w:lang w:val="en-GB"/>
        </w:rPr>
        <w:t>3GPP TSG RAN1 Meeting #91                                                   </w:t>
      </w:r>
      <w:r w:rsidR="00F642E9">
        <w:rPr>
          <w:b/>
          <w:bCs/>
          <w:sz w:val="24"/>
          <w:szCs w:val="24"/>
          <w:lang w:val="en-GB"/>
        </w:rPr>
        <w:t>                  RP</w:t>
      </w:r>
      <w:r w:rsidR="00A03816">
        <w:rPr>
          <w:b/>
          <w:bCs/>
          <w:sz w:val="24"/>
          <w:szCs w:val="24"/>
          <w:lang w:val="en-GB"/>
        </w:rPr>
        <w:t>-</w:t>
      </w:r>
      <w:r>
        <w:rPr>
          <w:b/>
          <w:bCs/>
          <w:sz w:val="24"/>
          <w:szCs w:val="24"/>
          <w:lang w:val="en-GB"/>
        </w:rPr>
        <w:t>17</w:t>
      </w:r>
      <w:r w:rsidR="00F642E9">
        <w:rPr>
          <w:b/>
          <w:bCs/>
          <w:sz w:val="24"/>
          <w:szCs w:val="24"/>
          <w:lang w:val="en-GB"/>
        </w:rPr>
        <w:t>2658</w:t>
      </w:r>
    </w:p>
    <w:p w14:paraId="78F2046C" w14:textId="77777777" w:rsidR="00673D04" w:rsidRDefault="00673D04" w:rsidP="00673D04">
      <w:pPr>
        <w:pStyle w:val="CRCoverPage"/>
        <w:spacing w:after="0"/>
        <w:rPr>
          <w:b/>
          <w:bCs/>
          <w:sz w:val="24"/>
          <w:szCs w:val="24"/>
          <w:lang w:val="en-GB"/>
        </w:rPr>
      </w:pPr>
      <w:r>
        <w:rPr>
          <w:b/>
          <w:bCs/>
          <w:sz w:val="24"/>
          <w:szCs w:val="24"/>
          <w:lang w:val="en-GB"/>
        </w:rPr>
        <w:t>Reno, USA, 27th November – 1</w:t>
      </w:r>
      <w:r>
        <w:rPr>
          <w:b/>
          <w:bCs/>
          <w:sz w:val="24"/>
          <w:szCs w:val="24"/>
          <w:vertAlign w:val="superscript"/>
          <w:lang w:val="en-GB"/>
        </w:rPr>
        <w:t>st</w:t>
      </w:r>
      <w:r>
        <w:rPr>
          <w:b/>
          <w:bCs/>
          <w:sz w:val="24"/>
          <w:szCs w:val="24"/>
          <w:lang w:val="en-GB"/>
        </w:rPr>
        <w:t xml:space="preserve"> December 2017</w:t>
      </w:r>
    </w:p>
    <w:p w14:paraId="77A09E43" w14:textId="77777777" w:rsidR="00673D04" w:rsidRDefault="00673D04" w:rsidP="00673D04">
      <w:pPr>
        <w:pStyle w:val="TdocHeader2"/>
        <w:rPr>
          <w:bCs/>
          <w:sz w:val="20"/>
        </w:rPr>
      </w:pPr>
    </w:p>
    <w:p w14:paraId="67E47A6E" w14:textId="53F9BDD2" w:rsidR="00673D04" w:rsidRDefault="00673D04" w:rsidP="00673D04">
      <w:pPr>
        <w:pStyle w:val="TdocHeader2"/>
        <w:rPr>
          <w:sz w:val="20"/>
          <w:lang w:val="en-US"/>
        </w:rPr>
      </w:pPr>
      <w:r>
        <w:rPr>
          <w:sz w:val="20"/>
        </w:rPr>
        <w:t>Source:                Hughes Network Systems</w:t>
      </w:r>
    </w:p>
    <w:p w14:paraId="4339C52C" w14:textId="6A2AAE10" w:rsidR="00673D04" w:rsidRDefault="00673D04" w:rsidP="00673D04">
      <w:pPr>
        <w:pStyle w:val="TdocHeader2"/>
        <w:rPr>
          <w:sz w:val="20"/>
        </w:rPr>
      </w:pPr>
      <w:r>
        <w:rPr>
          <w:sz w:val="20"/>
        </w:rPr>
        <w:t xml:space="preserve">Title:                     Uplink/Downlink Paring for </w:t>
      </w:r>
      <w:proofErr w:type="spellStart"/>
      <w:r>
        <w:rPr>
          <w:sz w:val="20"/>
        </w:rPr>
        <w:t>Ka</w:t>
      </w:r>
      <w:proofErr w:type="spellEnd"/>
      <w:r>
        <w:rPr>
          <w:sz w:val="20"/>
        </w:rPr>
        <w:t>-band Satellites</w:t>
      </w:r>
    </w:p>
    <w:p w14:paraId="1A4E0274" w14:textId="77777777" w:rsidR="00673D04" w:rsidRDefault="00673D04" w:rsidP="00673D04">
      <w:pPr>
        <w:pStyle w:val="TdocHeader2"/>
        <w:rPr>
          <w:sz w:val="20"/>
        </w:rPr>
      </w:pPr>
      <w:r>
        <w:rPr>
          <w:sz w:val="20"/>
        </w:rPr>
        <w:t>TDOC Type:          discussion</w:t>
      </w:r>
    </w:p>
    <w:p w14:paraId="3DC0CAF9" w14:textId="2EEAA82F" w:rsidR="00673D04" w:rsidRDefault="00F642E9" w:rsidP="00673D04">
      <w:pPr>
        <w:pStyle w:val="TdocHeader2"/>
        <w:rPr>
          <w:sz w:val="20"/>
          <w:lang w:val="de-DE"/>
        </w:rPr>
      </w:pPr>
      <w:r>
        <w:rPr>
          <w:sz w:val="20"/>
          <w:lang w:val="de-DE"/>
        </w:rPr>
        <w:t>Agenda Item:        9.3.1</w:t>
      </w:r>
    </w:p>
    <w:p w14:paraId="28377A17" w14:textId="77777777" w:rsidR="00673D04" w:rsidRDefault="00673D04" w:rsidP="00673D04">
      <w:pPr>
        <w:pStyle w:val="TdocHeader2"/>
        <w:rPr>
          <w:sz w:val="20"/>
          <w:lang w:val="en-US"/>
        </w:rPr>
      </w:pPr>
      <w:r>
        <w:rPr>
          <w:sz w:val="20"/>
        </w:rPr>
        <w:t>Document for:      Information</w:t>
      </w:r>
    </w:p>
    <w:p w14:paraId="67E34D1D" w14:textId="5145004D" w:rsidR="00673D04" w:rsidRPr="00410D93" w:rsidRDefault="00673D04" w:rsidP="00410D93">
      <w:pPr>
        <w:pStyle w:val="TdocHeader2"/>
        <w:rPr>
          <w:sz w:val="20"/>
        </w:rPr>
      </w:pPr>
      <w:r>
        <w:rPr>
          <w:sz w:val="20"/>
        </w:rPr>
        <w:t>Release:               Rel-15</w:t>
      </w:r>
    </w:p>
    <w:p w14:paraId="43C92D28" w14:textId="77777777" w:rsidR="00CF2A6C" w:rsidRDefault="00CF2A6C">
      <w:pPr>
        <w:pStyle w:val="TdocHeader2"/>
        <w:rPr>
          <w:sz w:val="20"/>
          <w:lang w:val="en-US"/>
        </w:rPr>
      </w:pPr>
    </w:p>
    <w:p w14:paraId="17D63B90" w14:textId="77777777" w:rsidR="00CF2A6C" w:rsidRDefault="006C65A2">
      <w:pPr>
        <w:pStyle w:val="Heading1"/>
        <w:numPr>
          <w:ilvl w:val="0"/>
          <w:numId w:val="2"/>
        </w:numPr>
        <w:textAlignment w:val="auto"/>
        <w:rPr>
          <w:lang w:val="en-US"/>
        </w:rPr>
      </w:pPr>
      <w:bookmarkStart w:id="0" w:name="_Ref298777854"/>
      <w:bookmarkEnd w:id="0"/>
      <w:r>
        <w:rPr>
          <w:lang w:val="en-US"/>
        </w:rPr>
        <w:t>Scope</w:t>
      </w:r>
    </w:p>
    <w:p w14:paraId="10B7C999" w14:textId="77777777" w:rsidR="00080661" w:rsidRDefault="00240BC1" w:rsidP="00080661">
      <w:pPr>
        <w:rPr>
          <w:sz w:val="24"/>
          <w:szCs w:val="24"/>
        </w:rPr>
      </w:pPr>
      <w:r>
        <w:rPr>
          <w:sz w:val="24"/>
          <w:szCs w:val="24"/>
        </w:rPr>
        <w:t>This document</w:t>
      </w:r>
      <w:r w:rsidR="00080661">
        <w:rPr>
          <w:sz w:val="24"/>
          <w:szCs w:val="24"/>
        </w:rPr>
        <w:t xml:space="preserve"> describes the uplink/downlink channel freque</w:t>
      </w:r>
      <w:r w:rsidR="00342D1F">
        <w:rPr>
          <w:sz w:val="24"/>
          <w:szCs w:val="24"/>
        </w:rPr>
        <w:t>ncy used by</w:t>
      </w:r>
      <w:r w:rsidR="00080661">
        <w:rPr>
          <w:sz w:val="24"/>
          <w:szCs w:val="24"/>
        </w:rPr>
        <w:t xml:space="preserve"> </w:t>
      </w:r>
      <w:proofErr w:type="spellStart"/>
      <w:r w:rsidR="00080661">
        <w:rPr>
          <w:sz w:val="24"/>
          <w:szCs w:val="24"/>
        </w:rPr>
        <w:t>Ka</w:t>
      </w:r>
      <w:proofErr w:type="spellEnd"/>
      <w:r w:rsidR="00080661">
        <w:rPr>
          <w:sz w:val="24"/>
          <w:szCs w:val="24"/>
        </w:rPr>
        <w:t>-band satellite channels in order to highlight</w:t>
      </w:r>
      <w:r w:rsidR="00342D1F">
        <w:rPr>
          <w:sz w:val="24"/>
          <w:szCs w:val="24"/>
        </w:rPr>
        <w:t xml:space="preserve"> the </w:t>
      </w:r>
      <w:r w:rsidR="00513830">
        <w:rPr>
          <w:sz w:val="24"/>
          <w:szCs w:val="24"/>
        </w:rPr>
        <w:t xml:space="preserve">following </w:t>
      </w:r>
      <w:r w:rsidR="00342D1F">
        <w:rPr>
          <w:sz w:val="24"/>
          <w:szCs w:val="24"/>
        </w:rPr>
        <w:t>issues:</w:t>
      </w:r>
    </w:p>
    <w:p w14:paraId="75BDB497" w14:textId="77777777" w:rsidR="00342D1F" w:rsidRDefault="00080661" w:rsidP="00080661">
      <w:pPr>
        <w:pStyle w:val="ListParagraph"/>
        <w:numPr>
          <w:ilvl w:val="0"/>
          <w:numId w:val="3"/>
        </w:numPr>
      </w:pPr>
      <w:r w:rsidRPr="00080661">
        <w:rPr>
          <w:sz w:val="24"/>
          <w:szCs w:val="24"/>
        </w:rPr>
        <w:t xml:space="preserve"> </w:t>
      </w:r>
      <w:r>
        <w:t>How the carrier numbering need</w:t>
      </w:r>
      <w:r w:rsidR="00513830">
        <w:t>s</w:t>
      </w:r>
      <w:r>
        <w:t xml:space="preserve"> to be extended to address this new spectrum and specific pairing?</w:t>
      </w:r>
    </w:p>
    <w:p w14:paraId="09C60609" w14:textId="77777777" w:rsidR="00342D1F" w:rsidRDefault="00080661" w:rsidP="00342D1F">
      <w:pPr>
        <w:pStyle w:val="ListParagraph"/>
        <w:numPr>
          <w:ilvl w:val="0"/>
          <w:numId w:val="3"/>
        </w:numPr>
      </w:pPr>
      <w:r>
        <w:t xml:space="preserve">How the estimation on DL can be used for the UL (atmospheric effect as well as frequency error) </w:t>
      </w:r>
      <w:r w:rsidR="00342D1F">
        <w:t>without channel reciprocity</w:t>
      </w:r>
      <w:r>
        <w:t>?</w:t>
      </w:r>
    </w:p>
    <w:p w14:paraId="0CE24071" w14:textId="3BAD01A7" w:rsidR="00CF2A6C" w:rsidRPr="00342D1F" w:rsidRDefault="00080661" w:rsidP="00342D1F">
      <w:pPr>
        <w:pStyle w:val="ListParagraph"/>
        <w:numPr>
          <w:ilvl w:val="0"/>
          <w:numId w:val="3"/>
        </w:numPr>
      </w:pPr>
      <w:r>
        <w:t>What procedures ma</w:t>
      </w:r>
      <w:r w:rsidR="00F120A7">
        <w:t>y be impacted (</w:t>
      </w:r>
      <w:r w:rsidR="0054498D">
        <w:t>p</w:t>
      </w:r>
      <w:r w:rsidR="00342D1F">
        <w:t>ower</w:t>
      </w:r>
      <w:r w:rsidR="0054498D">
        <w:t xml:space="preserve"> c</w:t>
      </w:r>
      <w:r w:rsidR="00F120A7">
        <w:t>ontrol, modulation/coding mode selection, etc.</w:t>
      </w:r>
      <w:r w:rsidR="00342D1F">
        <w:t>)</w:t>
      </w:r>
      <w:r w:rsidR="00685FA6">
        <w:t>?</w:t>
      </w:r>
      <w:r w:rsidR="00342D1F">
        <w:t xml:space="preserve"> </w:t>
      </w:r>
    </w:p>
    <w:p w14:paraId="5ECEF93A" w14:textId="77777777" w:rsidR="00CF2A6C" w:rsidRDefault="00342D1F">
      <w:pPr>
        <w:pStyle w:val="Heading1"/>
        <w:numPr>
          <w:ilvl w:val="0"/>
          <w:numId w:val="2"/>
        </w:numPr>
        <w:textAlignment w:val="auto"/>
        <w:rPr>
          <w:lang w:val="en-US"/>
        </w:rPr>
      </w:pPr>
      <w:r>
        <w:rPr>
          <w:lang w:val="en-US"/>
        </w:rPr>
        <w:t xml:space="preserve">Satellite Communications bandwidths in </w:t>
      </w:r>
      <w:proofErr w:type="spellStart"/>
      <w:r>
        <w:rPr>
          <w:lang w:val="en-US"/>
        </w:rPr>
        <w:t>Ka</w:t>
      </w:r>
      <w:proofErr w:type="spellEnd"/>
      <w:r>
        <w:rPr>
          <w:lang w:val="en-US"/>
        </w:rPr>
        <w:t>-band</w:t>
      </w:r>
    </w:p>
    <w:p w14:paraId="453C1F87" w14:textId="5326D0B9" w:rsidR="00342D1F" w:rsidRDefault="00342D1F" w:rsidP="00342D1F">
      <w:r>
        <w:t xml:space="preserve">The </w:t>
      </w:r>
      <w:proofErr w:type="spellStart"/>
      <w:r>
        <w:t>Ka</w:t>
      </w:r>
      <w:proofErr w:type="spellEnd"/>
      <w:r>
        <w:t>-band for satellite communications commonly include 17.3 GHz-21.2 GHz, and 27</w:t>
      </w:r>
      <w:r w:rsidR="00063583">
        <w:t>.5</w:t>
      </w:r>
      <w:r>
        <w:t xml:space="preserve"> GHz – 31</w:t>
      </w:r>
      <w:r w:rsidR="00063583">
        <w:t>.</w:t>
      </w:r>
      <w:r w:rsidR="000C66E2">
        <w:t>0</w:t>
      </w:r>
      <w:r>
        <w:t xml:space="preserve">GHz.  </w:t>
      </w:r>
      <w:r w:rsidR="00EA1D83">
        <w:t>Global and</w:t>
      </w:r>
      <w:r w:rsidR="0064397D">
        <w:t xml:space="preserve"> regional </w:t>
      </w:r>
      <w:r>
        <w:t>spectrum allocations are made by International Telecommunications Union (ITU)</w:t>
      </w:r>
      <w:r w:rsidR="0064397D">
        <w:t xml:space="preserve"> and implemented by member states</w:t>
      </w:r>
      <w:r w:rsidR="00FB3B52">
        <w:t xml:space="preserve">. </w:t>
      </w:r>
    </w:p>
    <w:p w14:paraId="2E9268BE" w14:textId="2A7EF054" w:rsidR="00342D1F" w:rsidRDefault="0064397D" w:rsidP="00342D1F">
      <w:r>
        <w:t>The bands</w:t>
      </w:r>
      <w:r w:rsidR="00342D1F">
        <w:t xml:space="preserve"> 17.3 GHz – 21.2 GHz and 27</w:t>
      </w:r>
      <w:r w:rsidR="00063583">
        <w:t>.5</w:t>
      </w:r>
      <w:r w:rsidR="00342D1F">
        <w:t xml:space="preserve"> GHz – 31</w:t>
      </w:r>
      <w:r w:rsidR="00063583">
        <w:t>.</w:t>
      </w:r>
      <w:r w:rsidR="000C66E2">
        <w:t>0</w:t>
      </w:r>
      <w:r w:rsidR="00342D1F">
        <w:t xml:space="preserve"> GHz band, </w:t>
      </w:r>
      <w:r w:rsidR="00EA1D83">
        <w:t>are</w:t>
      </w:r>
      <w:r>
        <w:t xml:space="preserve"> allocated</w:t>
      </w:r>
      <w:r w:rsidR="00342D1F">
        <w:t xml:space="preserve"> Fixed Satellite Services and Mobile Satellite Services,</w:t>
      </w:r>
      <w:r w:rsidR="001B4199">
        <w:t xml:space="preserve"> </w:t>
      </w:r>
      <w:r>
        <w:t>among other servi</w:t>
      </w:r>
      <w:r w:rsidR="002468D2">
        <w:t>c</w:t>
      </w:r>
      <w:r>
        <w:t>es (i.e., fixed and mobile servi</w:t>
      </w:r>
      <w:r w:rsidR="002468D2">
        <w:t>c</w:t>
      </w:r>
      <w:r>
        <w:t>es)</w:t>
      </w:r>
      <w:r w:rsidR="00342D1F">
        <w:t>.  They may also be shared by GEO and NGSO.  Some parts may also be set aside for Military/Government use.  The details vary by region or by country.</w:t>
      </w:r>
    </w:p>
    <w:p w14:paraId="41C90DAD" w14:textId="62D68F45" w:rsidR="00FA17A6" w:rsidRPr="00F74493" w:rsidRDefault="00342D1F" w:rsidP="00F74493">
      <w:r>
        <w:t xml:space="preserve">The </w:t>
      </w:r>
      <w:proofErr w:type="spellStart"/>
      <w:r>
        <w:t>Ka</w:t>
      </w:r>
      <w:proofErr w:type="spellEnd"/>
      <w:r>
        <w:t>-band frequencies are generally circular polarized (CP). Both Left-hand CP and Right-hand CP can be used. More often than not, service downlink tends to be in the 17.3 GHz-21.2 GHz band to take advantage of the better propagation characteristics of the lower frequency, saving power requirement for the satellites, whereas the service uplink is in the 27</w:t>
      </w:r>
      <w:r w:rsidR="00063583">
        <w:t>.5</w:t>
      </w:r>
      <w:r>
        <w:t xml:space="preserve"> GHz-31</w:t>
      </w:r>
      <w:r w:rsidR="00063583">
        <w:t>.</w:t>
      </w:r>
      <w:r w:rsidR="000C66E2">
        <w:t>0</w:t>
      </w:r>
      <w:r>
        <w:t xml:space="preserve"> GHz band.  Typical bent-pipe satellites also need feeder links.  For High-Throughput Satellites (HTS) with multiple service beams, many feeder links may share the same frequencies with spatial multiplexing, achieved by very high gain Gateway antennas </w:t>
      </w:r>
      <w:r w:rsidR="00A0523C">
        <w:t>pointing to</w:t>
      </w:r>
      <w:r>
        <w:t xml:space="preserve"> selected, spatially separate locations.  Depending on the satellite architecture, the feeder links may</w:t>
      </w:r>
      <w:r w:rsidR="00A0523C">
        <w:t xml:space="preserve"> also</w:t>
      </w:r>
      <w:r>
        <w:t xml:space="preserve"> use part of the </w:t>
      </w:r>
      <w:proofErr w:type="spellStart"/>
      <w:r>
        <w:t>Ka</w:t>
      </w:r>
      <w:proofErr w:type="spellEnd"/>
      <w:r>
        <w:t xml:space="preserve">-band frequencies.  Alternatively, they may use frequency bands outside the </w:t>
      </w:r>
      <w:proofErr w:type="spellStart"/>
      <w:r>
        <w:t>Ka</w:t>
      </w:r>
      <w:proofErr w:type="spellEnd"/>
      <w:r>
        <w:t xml:space="preserve">-band allowing the service links to use the </w:t>
      </w:r>
      <w:r w:rsidR="001B4199">
        <w:t>full complement of</w:t>
      </w:r>
      <w:r w:rsidR="0064397D">
        <w:t xml:space="preserve"> </w:t>
      </w:r>
      <w:proofErr w:type="spellStart"/>
      <w:r>
        <w:t>Ka</w:t>
      </w:r>
      <w:proofErr w:type="spellEnd"/>
      <w:r>
        <w:t>-band frequencies.</w:t>
      </w:r>
    </w:p>
    <w:p w14:paraId="68A5D2AE" w14:textId="65BE3DD0" w:rsidR="002844FA" w:rsidRPr="00DC6B40" w:rsidRDefault="00EF229D" w:rsidP="00EF229D">
      <w:pPr>
        <w:pStyle w:val="Heading1"/>
        <w:numPr>
          <w:ilvl w:val="0"/>
          <w:numId w:val="2"/>
        </w:numPr>
        <w:textAlignment w:val="auto"/>
        <w:rPr>
          <w:lang w:val="en-US"/>
        </w:rPr>
      </w:pPr>
      <w:r>
        <w:rPr>
          <w:lang w:val="en-US"/>
        </w:rPr>
        <w:lastRenderedPageBreak/>
        <w:t>Uplink and Downlink Frequency Separation and Frequency Reuse</w:t>
      </w:r>
    </w:p>
    <w:p w14:paraId="010A00A4" w14:textId="52A8C967" w:rsidR="00DA42F2" w:rsidRDefault="002844FA" w:rsidP="00EF229D">
      <w:r>
        <w:t>Exactly which part</w:t>
      </w:r>
      <w:r w:rsidR="001B4199">
        <w:t>s</w:t>
      </w:r>
      <w:r>
        <w:t xml:space="preserve"> of the band can be used for service uplink, service downlink, gateway uplink, and gateway down link, respectively must follow</w:t>
      </w:r>
      <w:r w:rsidR="003E1B5E">
        <w:t xml:space="preserve"> rules in individual countr</w:t>
      </w:r>
      <w:r w:rsidR="001B4199">
        <w:t>ie</w:t>
      </w:r>
      <w:r w:rsidR="003E1B5E">
        <w:t>s</w:t>
      </w:r>
      <w:r>
        <w:t xml:space="preserve">.  </w:t>
      </w:r>
      <w:r w:rsidR="001B4199">
        <w:t>Creative arrangement</w:t>
      </w:r>
      <w:r w:rsidR="00A0523C">
        <w:t xml:space="preserve">s can be considered within the spectrum administration rules.  For multi-beam satellites, a cellular-like reuse pattern is typically used taking advantages of both frequency separation and polarization isolation. </w:t>
      </w:r>
      <w:r w:rsidR="00EF229D">
        <w:t xml:space="preserve"> Most common reuse factors are 3 or 4</w:t>
      </w:r>
      <w:r w:rsidR="001B72AD">
        <w:t>, when antenna pattern alone does not provide sufficient isolation between beams</w:t>
      </w:r>
      <w:r w:rsidR="00EF229D">
        <w:t xml:space="preserve">. </w:t>
      </w:r>
      <w:r w:rsidR="00A0523C">
        <w:t xml:space="preserve"> Generally, Frequency Division Duplexing (FDD) is preferred due to the long round trip propagation delay. Service uplink and service downlink are separated by about 10 GHz</w:t>
      </w:r>
      <w:r w:rsidR="00EF229D">
        <w:t xml:space="preserve">. Coverage area of uplink and downlink beams are </w:t>
      </w:r>
      <w:r w:rsidR="00E874AD">
        <w:t xml:space="preserve">approximately </w:t>
      </w:r>
      <w:r w:rsidR="00EF229D">
        <w:t>congruent.</w:t>
      </w:r>
      <w:r w:rsidR="00A0523C">
        <w:t xml:space="preserve"> FD</w:t>
      </w:r>
      <w:r w:rsidR="001B4199">
        <w:t>D is also preferred for NGSO, since</w:t>
      </w:r>
      <w:r w:rsidR="00A0523C">
        <w:t xml:space="preserve"> the propagation delay changes quickly as the satellites move in and out of reach quickly for any user terminals</w:t>
      </w:r>
      <w:r w:rsidR="00EF229D">
        <w:t>, making it harder for TDD to perform efficiently</w:t>
      </w:r>
      <w:r w:rsidR="00A0523C">
        <w:t>.</w:t>
      </w:r>
    </w:p>
    <w:p w14:paraId="1AC7326E" w14:textId="1F163DF1" w:rsidR="00CF5BD7" w:rsidRDefault="00CF5BD7" w:rsidP="00CF5BD7">
      <w:pPr>
        <w:pStyle w:val="Heading1"/>
        <w:numPr>
          <w:ilvl w:val="0"/>
          <w:numId w:val="2"/>
        </w:numPr>
        <w:textAlignment w:val="auto"/>
        <w:rPr>
          <w:lang w:val="en-US"/>
        </w:rPr>
      </w:pPr>
      <w:r>
        <w:rPr>
          <w:lang w:val="en-US"/>
        </w:rPr>
        <w:t>Channel Numbering</w:t>
      </w:r>
    </w:p>
    <w:p w14:paraId="29EA4A92" w14:textId="22FB362F" w:rsidR="00CF5BD7" w:rsidRPr="00875933" w:rsidRDefault="002D3602" w:rsidP="00EF229D">
      <w:pPr>
        <w:rPr>
          <w:b/>
          <w:u w:val="single"/>
          <w:lang w:eastAsia="zh-CN"/>
        </w:rPr>
      </w:pPr>
      <w:r w:rsidRPr="00875933">
        <w:rPr>
          <w:b/>
          <w:u w:val="single"/>
          <w:lang w:eastAsia="zh-CN"/>
        </w:rPr>
        <w:t xml:space="preserve">To apply NR to these </w:t>
      </w:r>
      <w:proofErr w:type="spellStart"/>
      <w:r w:rsidRPr="00875933">
        <w:rPr>
          <w:b/>
          <w:u w:val="single"/>
          <w:lang w:eastAsia="zh-CN"/>
        </w:rPr>
        <w:t>Ka</w:t>
      </w:r>
      <w:proofErr w:type="spellEnd"/>
      <w:r w:rsidRPr="00875933">
        <w:rPr>
          <w:b/>
          <w:u w:val="single"/>
          <w:lang w:eastAsia="zh-CN"/>
        </w:rPr>
        <w:t xml:space="preserve"> frequency bands</w:t>
      </w:r>
      <w:r w:rsidR="001A2A0B" w:rsidRPr="00875933">
        <w:rPr>
          <w:b/>
          <w:u w:val="single"/>
          <w:lang w:eastAsia="zh-CN"/>
        </w:rPr>
        <w:t>,</w:t>
      </w:r>
      <w:r w:rsidRPr="00875933">
        <w:rPr>
          <w:b/>
          <w:u w:val="single"/>
          <w:lang w:eastAsia="zh-CN"/>
        </w:rPr>
        <w:t xml:space="preserve"> new channel numbers consistent with the NR channel numbering scheme have to be added.  Not only the NR channel numbering range needs to be extended </w:t>
      </w:r>
      <w:r w:rsidR="00386033" w:rsidRPr="00875933">
        <w:rPr>
          <w:b/>
          <w:u w:val="single"/>
          <w:lang w:eastAsia="zh-CN"/>
        </w:rPr>
        <w:t>to include the 27.5</w:t>
      </w:r>
      <w:r w:rsidR="00E874AD" w:rsidRPr="00875933">
        <w:rPr>
          <w:b/>
          <w:u w:val="single"/>
          <w:lang w:eastAsia="zh-CN"/>
        </w:rPr>
        <w:t xml:space="preserve"> </w:t>
      </w:r>
      <w:r w:rsidR="00386033" w:rsidRPr="00875933">
        <w:rPr>
          <w:b/>
          <w:u w:val="single"/>
          <w:lang w:eastAsia="zh-CN"/>
        </w:rPr>
        <w:t xml:space="preserve">GHz-31.0 GHz band, </w:t>
      </w:r>
      <w:r w:rsidRPr="00875933">
        <w:rPr>
          <w:b/>
          <w:u w:val="single"/>
          <w:lang w:eastAsia="zh-CN"/>
        </w:rPr>
        <w:t>the numbering scheme needs to be able to uniquely identify channels in the</w:t>
      </w:r>
      <w:r w:rsidR="00386033" w:rsidRPr="00875933">
        <w:rPr>
          <w:b/>
          <w:u w:val="single"/>
          <w:lang w:eastAsia="zh-CN"/>
        </w:rPr>
        <w:t xml:space="preserve"> left-hand CP and right-hand CP of the same frequency channel.  In addition, a numbering scheme uniquely identifying channels in the 17.3 GHz-21.2 GHz band with a scheme associating it with the channels in the 27.5</w:t>
      </w:r>
      <w:r w:rsidR="00E874AD" w:rsidRPr="00875933">
        <w:rPr>
          <w:b/>
          <w:u w:val="single"/>
          <w:lang w:eastAsia="zh-CN"/>
        </w:rPr>
        <w:t xml:space="preserve"> </w:t>
      </w:r>
      <w:r w:rsidR="00386033" w:rsidRPr="00875933">
        <w:rPr>
          <w:b/>
          <w:u w:val="single"/>
          <w:lang w:eastAsia="zh-CN"/>
        </w:rPr>
        <w:t>GHz-31.0 GHz consistent with the scheme that pairs with uplink channel number and downlink channel number in NR FDD mode needs to be developed.</w:t>
      </w:r>
    </w:p>
    <w:p w14:paraId="77C7463A" w14:textId="77777777" w:rsidR="00DA42F2" w:rsidRDefault="00E95BF0" w:rsidP="00DA42F2">
      <w:pPr>
        <w:pStyle w:val="Heading1"/>
        <w:numPr>
          <w:ilvl w:val="0"/>
          <w:numId w:val="2"/>
        </w:numPr>
        <w:textAlignment w:val="auto"/>
        <w:rPr>
          <w:lang w:val="en-US"/>
        </w:rPr>
      </w:pPr>
      <w:r>
        <w:rPr>
          <w:lang w:val="en-US"/>
        </w:rPr>
        <w:t>Channel Estimation</w:t>
      </w:r>
    </w:p>
    <w:p w14:paraId="32DE172F" w14:textId="670F4A56" w:rsidR="008A21A1" w:rsidRDefault="003E61F8" w:rsidP="00EF229D">
      <w:r>
        <w:t xml:space="preserve">Transmit channel estimation for </w:t>
      </w:r>
      <w:r w:rsidR="00EF229D">
        <w:t>Time Division Duplexing (TDD)</w:t>
      </w:r>
      <w:r>
        <w:t xml:space="preserve"> systems is straightforward.  B</w:t>
      </w:r>
      <w:r w:rsidR="00EF229D">
        <w:t>y reciprocity</w:t>
      </w:r>
      <w:r w:rsidR="0074765F">
        <w:t>,</w:t>
      </w:r>
      <w:r w:rsidR="00EF229D">
        <w:t xml:space="preserve"> impairment measured from the received signal can be used directly as the estimate for the transmit channel.  For FDD systems in frequency selective channels, however, transmit and receive signals are sent in different frequencies, </w:t>
      </w:r>
      <w:r w:rsidR="0074765F">
        <w:t xml:space="preserve">therefore </w:t>
      </w:r>
      <w:r w:rsidR="00EF229D">
        <w:t>transmit and receive channel</w:t>
      </w:r>
      <w:r>
        <w:t>s may be quite different.  T</w:t>
      </w:r>
      <w:r w:rsidR="00EF229D">
        <w:t xml:space="preserve">he major impairments for the </w:t>
      </w:r>
      <w:proofErr w:type="spellStart"/>
      <w:r w:rsidR="00EF229D">
        <w:t>Ka</w:t>
      </w:r>
      <w:proofErr w:type="spellEnd"/>
      <w:r w:rsidR="00EF229D">
        <w:t>-band sat</w:t>
      </w:r>
      <w:r w:rsidR="001B72AD">
        <w:t>ellite channel is caused by atmospheric</w:t>
      </w:r>
      <w:r w:rsidR="00EF229D">
        <w:t xml:space="preserve"> attenuation and Doppler frequency shift.  This is very different from the terrestrial communication in which multipath fading dominates the impairments.  Even when separated by about 10 GHz, </w:t>
      </w:r>
      <w:r w:rsidR="00D576F5">
        <w:t>the rain attenuation between</w:t>
      </w:r>
      <w:r w:rsidR="00EF229D">
        <w:t xml:space="preserve"> transmit and receive frequencies are generally correlated.  Based on decades of measurements, it is possible to </w:t>
      </w:r>
      <w:r w:rsidR="0074765F">
        <w:t xml:space="preserve">use </w:t>
      </w:r>
      <w:r w:rsidR="00EF229D">
        <w:t>the amount of rain attenuation experienced in the 17.3-21.2 GHz band to estimate the attenuation in the 27</w:t>
      </w:r>
      <w:r w:rsidR="00063583">
        <w:t>.5</w:t>
      </w:r>
      <w:r w:rsidR="00EF229D">
        <w:t>-31</w:t>
      </w:r>
      <w:r w:rsidR="00063583">
        <w:t>.</w:t>
      </w:r>
      <w:r w:rsidR="000C66E2">
        <w:t>0</w:t>
      </w:r>
      <w:r w:rsidR="00EF229D">
        <w:t xml:space="preserve"> GHz band and vice versa using a translation table</w:t>
      </w:r>
      <w:r w:rsidR="001B72AD">
        <w:t xml:space="preserve"> </w:t>
      </w:r>
      <w:r w:rsidR="00AB679D">
        <w:t>derived from empirical formulas based on measurements. An example of such formula recommended by</w:t>
      </w:r>
      <w:r w:rsidR="001B72AD">
        <w:t xml:space="preserve"> ITU-R P.618-12 Section </w:t>
      </w:r>
      <w:r w:rsidR="001B72AD" w:rsidRPr="001406F3">
        <w:t>2.2.1.3.2</w:t>
      </w:r>
      <w:r w:rsidR="00AB679D">
        <w:t xml:space="preserve"> is shown in the Annex</w:t>
      </w:r>
      <w:r w:rsidR="00EF229D">
        <w:t xml:space="preserve">. </w:t>
      </w:r>
      <w:r w:rsidR="006C17D2">
        <w:t xml:space="preserve"> Also, since the path length going through the atmosphere is</w:t>
      </w:r>
      <w:r w:rsidR="005972E4">
        <w:t xml:space="preserve"> much longer than</w:t>
      </w:r>
      <w:r w:rsidR="006C17D2">
        <w:t xml:space="preserve"> typically anticipated by </w:t>
      </w:r>
      <w:r w:rsidR="005972E4">
        <w:t>the terrestrial links</w:t>
      </w:r>
      <w:r w:rsidR="006C17D2">
        <w:t xml:space="preserve">, the range for power control adjustments and modulation coding selection may have to </w:t>
      </w:r>
      <w:proofErr w:type="gramStart"/>
      <w:r w:rsidR="006C17D2">
        <w:t>extended</w:t>
      </w:r>
      <w:proofErr w:type="gramEnd"/>
      <w:r w:rsidR="006C17D2">
        <w:t xml:space="preserve">. </w:t>
      </w:r>
      <w:r w:rsidR="00EF229D">
        <w:t xml:space="preserve"> Similarly, th</w:t>
      </w:r>
      <w:r w:rsidR="006C17D2">
        <w:t>e Doppler frequency shift needs to be</w:t>
      </w:r>
      <w:r w:rsidR="00EF229D">
        <w:t xml:space="preserve"> scaled from measurements from the received signal by the ratio of the frequencies between transmit and receive signal.  </w:t>
      </w:r>
      <w:r w:rsidR="005972E4">
        <w:t>This is no different than what is required for terrestrial applications, except the value for such compensation may have a much larger range.</w:t>
      </w:r>
    </w:p>
    <w:p w14:paraId="0D2C2BB0" w14:textId="17BAA5A1" w:rsidR="00240BC1" w:rsidRPr="00240BC1" w:rsidRDefault="00351D62" w:rsidP="00240BC1">
      <w:r>
        <w:lastRenderedPageBreak/>
        <w:t xml:space="preserve">The translation can be made more accurate if </w:t>
      </w:r>
      <w:r w:rsidR="00345773">
        <w:t>effects other than rain attenuation</w:t>
      </w:r>
      <w:r w:rsidR="008A21A1">
        <w:t>,</w:t>
      </w:r>
      <w:r w:rsidR="00DB5E14">
        <w:t xml:space="preserve"> such as</w:t>
      </w:r>
      <w:r w:rsidR="008A21A1">
        <w:t xml:space="preserve"> </w:t>
      </w:r>
      <w:r w:rsidR="001B72AD">
        <w:t>change in receive G/T in rain,</w:t>
      </w:r>
      <w:r w:rsidR="0026462F">
        <w:t xml:space="preserve"> </w:t>
      </w:r>
      <w:r w:rsidR="008A21A1">
        <w:t>power variation on the transmit side</w:t>
      </w:r>
      <w:r w:rsidR="00345773">
        <w:t xml:space="preserve"> can obtained separately. Alternatively, some margin may have to be allowed.</w:t>
      </w:r>
    </w:p>
    <w:p w14:paraId="7294A898" w14:textId="77777777" w:rsidR="00CF2A6C" w:rsidRDefault="00DA42F2">
      <w:pPr>
        <w:pStyle w:val="Heading1"/>
        <w:numPr>
          <w:ilvl w:val="0"/>
          <w:numId w:val="2"/>
        </w:numPr>
        <w:textAlignment w:val="auto"/>
        <w:rPr>
          <w:lang w:val="en-US"/>
        </w:rPr>
      </w:pPr>
      <w:bookmarkStart w:id="1" w:name="_GoBack"/>
      <w:r>
        <w:rPr>
          <w:lang w:val="en-US"/>
        </w:rPr>
        <w:t>Conclusion</w:t>
      </w:r>
    </w:p>
    <w:bookmarkEnd w:id="1"/>
    <w:p w14:paraId="4FC5D13D" w14:textId="1736549A" w:rsidR="001A2A0B" w:rsidRPr="001D6677" w:rsidRDefault="004F5E4E" w:rsidP="00DA42F2">
      <w:pPr>
        <w:rPr>
          <w:lang w:eastAsia="zh-CN"/>
        </w:rPr>
      </w:pPr>
      <w:r w:rsidRPr="001D6677">
        <w:rPr>
          <w:lang w:eastAsia="zh-CN"/>
        </w:rPr>
        <w:t>The NR channel numbering specifications need</w:t>
      </w:r>
      <w:r w:rsidR="001A2A0B" w:rsidRPr="001D6677">
        <w:rPr>
          <w:lang w:eastAsia="zh-CN"/>
        </w:rPr>
        <w:t xml:space="preserve"> to be extended to include the 27.5 GHz-31.0 GHz band</w:t>
      </w:r>
      <w:r w:rsidR="008D553A" w:rsidRPr="001D6677">
        <w:rPr>
          <w:lang w:eastAsia="zh-CN"/>
        </w:rPr>
        <w:t xml:space="preserve"> for non-terrestrial applications</w:t>
      </w:r>
      <w:r w:rsidR="001A2A0B" w:rsidRPr="001D6677">
        <w:rPr>
          <w:lang w:eastAsia="zh-CN"/>
        </w:rPr>
        <w:t xml:space="preserve">. Due to pairing of the uplink with the downlink in the </w:t>
      </w:r>
      <w:proofErr w:type="spellStart"/>
      <w:r w:rsidR="001A2A0B" w:rsidRPr="001D6677">
        <w:rPr>
          <w:lang w:eastAsia="zh-CN"/>
        </w:rPr>
        <w:t>Ka</w:t>
      </w:r>
      <w:proofErr w:type="spellEnd"/>
      <w:r w:rsidR="001A2A0B" w:rsidRPr="001D6677">
        <w:rPr>
          <w:lang w:eastAsia="zh-CN"/>
        </w:rPr>
        <w:t>-band satellite channel, it also needs to include the 17.3 GHz-21.2 GHz band.</w:t>
      </w:r>
      <w:r w:rsidRPr="001D6677">
        <w:rPr>
          <w:lang w:eastAsia="zh-CN"/>
        </w:rPr>
        <w:t xml:space="preserve">  Furthermore, both left-hand circular polarization and right-hand circular polarization needs to be included.  </w:t>
      </w:r>
    </w:p>
    <w:p w14:paraId="4C14CF1F" w14:textId="0D31B08D" w:rsidR="00DA42F2" w:rsidRDefault="00B102FF" w:rsidP="00DA42F2">
      <w:pPr>
        <w:rPr>
          <w:lang w:eastAsia="zh-CN"/>
        </w:rPr>
      </w:pPr>
      <w:r w:rsidRPr="001D6677">
        <w:rPr>
          <w:b/>
          <w:u w:val="single"/>
          <w:lang w:eastAsia="zh-CN"/>
        </w:rPr>
        <w:t>T</w:t>
      </w:r>
      <w:r w:rsidR="00603BB7" w:rsidRPr="001D6677">
        <w:rPr>
          <w:b/>
          <w:u w:val="single"/>
          <w:lang w:eastAsia="zh-CN"/>
        </w:rPr>
        <w:t xml:space="preserve">he wide separation of the uplink and downlink bands used by </w:t>
      </w:r>
      <w:proofErr w:type="spellStart"/>
      <w:r w:rsidR="00603BB7" w:rsidRPr="001D6677">
        <w:rPr>
          <w:b/>
          <w:u w:val="single"/>
          <w:lang w:eastAsia="zh-CN"/>
        </w:rPr>
        <w:t>Ka</w:t>
      </w:r>
      <w:proofErr w:type="spellEnd"/>
      <w:r w:rsidR="00603BB7" w:rsidRPr="001D6677">
        <w:rPr>
          <w:b/>
          <w:u w:val="single"/>
          <w:lang w:eastAsia="zh-CN"/>
        </w:rPr>
        <w:t>-band satellite sy</w:t>
      </w:r>
      <w:r w:rsidR="008F3D0B" w:rsidRPr="001D6677">
        <w:rPr>
          <w:b/>
          <w:u w:val="single"/>
          <w:lang w:eastAsia="zh-CN"/>
        </w:rPr>
        <w:t xml:space="preserve">stems will require a translation of </w:t>
      </w:r>
      <w:r w:rsidRPr="001D6677">
        <w:rPr>
          <w:b/>
          <w:u w:val="single"/>
          <w:lang w:eastAsia="zh-CN"/>
        </w:rPr>
        <w:t xml:space="preserve">estimated </w:t>
      </w:r>
      <w:r w:rsidR="008F3D0B" w:rsidRPr="001D6677">
        <w:rPr>
          <w:b/>
          <w:u w:val="single"/>
          <w:lang w:eastAsia="zh-CN"/>
        </w:rPr>
        <w:t>atmosphe</w:t>
      </w:r>
      <w:r w:rsidRPr="001D6677">
        <w:rPr>
          <w:b/>
          <w:u w:val="single"/>
          <w:lang w:eastAsia="zh-CN"/>
        </w:rPr>
        <w:t>ric attenuation at the received frequency to the transmit frequency before applying</w:t>
      </w:r>
      <w:r w:rsidR="008F3D0B" w:rsidRPr="001D6677">
        <w:rPr>
          <w:b/>
          <w:u w:val="single"/>
          <w:lang w:eastAsia="zh-CN"/>
        </w:rPr>
        <w:t xml:space="preserve"> the transmit power compensation and</w:t>
      </w:r>
      <w:r w:rsidRPr="001D6677">
        <w:rPr>
          <w:b/>
          <w:u w:val="single"/>
          <w:lang w:eastAsia="zh-CN"/>
        </w:rPr>
        <w:t>/or</w:t>
      </w:r>
      <w:r w:rsidR="008F3D0B" w:rsidRPr="001D6677">
        <w:rPr>
          <w:b/>
          <w:u w:val="single"/>
          <w:lang w:eastAsia="zh-CN"/>
        </w:rPr>
        <w:t xml:space="preserve"> modulation and coding selection</w:t>
      </w:r>
      <w:r w:rsidR="004F5E4E" w:rsidRPr="001D6677">
        <w:rPr>
          <w:b/>
          <w:u w:val="single"/>
          <w:lang w:eastAsia="zh-CN"/>
        </w:rPr>
        <w:t>, but</w:t>
      </w:r>
      <w:r w:rsidR="005972E4" w:rsidRPr="001D6677">
        <w:rPr>
          <w:b/>
          <w:u w:val="single"/>
          <w:lang w:eastAsia="zh-CN"/>
        </w:rPr>
        <w:t xml:space="preserve"> no changes are needed to the basic algorithms.</w:t>
      </w:r>
      <w:r w:rsidR="004F5E4E" w:rsidRPr="001D6677">
        <w:rPr>
          <w:b/>
          <w:u w:val="single"/>
          <w:lang w:eastAsia="zh-CN"/>
        </w:rPr>
        <w:t xml:space="preserve">  This additional step is an </w:t>
      </w:r>
      <w:r w:rsidRPr="001D6677">
        <w:rPr>
          <w:b/>
          <w:u w:val="single"/>
          <w:lang w:eastAsia="zh-CN"/>
        </w:rPr>
        <w:t>implementation issue. It</w:t>
      </w:r>
      <w:r w:rsidR="004F5E4E" w:rsidRPr="001D6677">
        <w:rPr>
          <w:b/>
          <w:u w:val="single"/>
          <w:lang w:eastAsia="zh-CN"/>
        </w:rPr>
        <w:t xml:space="preserve"> not impact the NR specifications, except t</w:t>
      </w:r>
      <w:r w:rsidR="005972E4" w:rsidRPr="001D6677">
        <w:rPr>
          <w:b/>
          <w:u w:val="single"/>
          <w:lang w:eastAsia="zh-CN"/>
        </w:rPr>
        <w:t>he parameter range needs to be evaluated</w:t>
      </w:r>
      <w:r w:rsidR="004F5E4E" w:rsidRPr="001D6677">
        <w:rPr>
          <w:b/>
          <w:u w:val="single"/>
          <w:lang w:eastAsia="zh-CN"/>
        </w:rPr>
        <w:t xml:space="preserve"> and possibly extended</w:t>
      </w:r>
      <w:r w:rsidR="005972E4" w:rsidRPr="001D6677">
        <w:rPr>
          <w:b/>
          <w:u w:val="single"/>
          <w:lang w:eastAsia="zh-CN"/>
        </w:rPr>
        <w:t>.</w:t>
      </w:r>
      <w:r w:rsidR="005972E4">
        <w:rPr>
          <w:lang w:eastAsia="zh-CN"/>
        </w:rPr>
        <w:t xml:space="preserve"> Similarly, </w:t>
      </w:r>
      <w:r w:rsidR="00603BB7">
        <w:rPr>
          <w:lang w:eastAsia="zh-CN"/>
        </w:rPr>
        <w:t>Doppler compensati</w:t>
      </w:r>
      <w:r w:rsidR="004F5E4E">
        <w:rPr>
          <w:lang w:eastAsia="zh-CN"/>
        </w:rPr>
        <w:t>on algorithm is the same, except</w:t>
      </w:r>
      <w:r w:rsidR="005972E4">
        <w:rPr>
          <w:lang w:eastAsia="zh-CN"/>
        </w:rPr>
        <w:t xml:space="preserve"> the parameter range may need to be extended</w:t>
      </w:r>
      <w:r w:rsidR="004F5E4E">
        <w:rPr>
          <w:lang w:eastAsia="zh-CN"/>
        </w:rPr>
        <w:t>.</w:t>
      </w:r>
    </w:p>
    <w:p w14:paraId="721957EF" w14:textId="396136BA" w:rsidR="00351D62" w:rsidRDefault="00AB679D" w:rsidP="00351D62">
      <w:pPr>
        <w:pStyle w:val="Heading1"/>
        <w:numPr>
          <w:ilvl w:val="0"/>
          <w:numId w:val="0"/>
        </w:numPr>
        <w:ind w:left="432" w:hanging="432"/>
        <w:textAlignment w:val="auto"/>
        <w:rPr>
          <w:lang w:val="en-US"/>
        </w:rPr>
      </w:pPr>
      <w:r>
        <w:rPr>
          <w:lang w:val="en-US"/>
        </w:rPr>
        <w:t xml:space="preserve">Annex. ITU-R P.618-12 </w:t>
      </w:r>
      <w:r w:rsidR="00351D62">
        <w:rPr>
          <w:lang w:val="en-US"/>
        </w:rPr>
        <w:t>Recommendation</w:t>
      </w:r>
    </w:p>
    <w:p w14:paraId="617D493F" w14:textId="1E6FE143" w:rsidR="00351D62" w:rsidRPr="00351D62" w:rsidRDefault="00351D62" w:rsidP="00351D62">
      <w:pPr>
        <w:rPr>
          <w:lang w:eastAsia="zh-CN"/>
        </w:rPr>
      </w:pPr>
      <w:r>
        <w:rPr>
          <w:lang w:eastAsia="zh-CN"/>
        </w:rPr>
        <w:t>The following section has often been used to scale rain attenuation measured in one frequency to the same in another frequency of the same path.</w:t>
      </w:r>
    </w:p>
    <w:p w14:paraId="2D313B9F" w14:textId="3BD958B6" w:rsidR="00AB679D" w:rsidRDefault="00AB679D" w:rsidP="00AB679D">
      <w:pPr>
        <w:rPr>
          <w:lang w:eastAsia="zh-CN"/>
        </w:rPr>
      </w:pPr>
      <w:r>
        <w:rPr>
          <w:noProof/>
        </w:rPr>
        <w:drawing>
          <wp:inline distT="0" distB="0" distL="0" distR="0" wp14:anchorId="31411F1B" wp14:editId="5E0D4BF9">
            <wp:extent cx="5943600" cy="2949971"/>
            <wp:effectExtent l="0" t="0" r="0" b="3175"/>
            <wp:docPr id="1" name="Picture 1" descr="cid:image001.png@01D35E24.BE846E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5E24.BE846E6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943600" cy="2949971"/>
                    </a:xfrm>
                    <a:prstGeom prst="rect">
                      <a:avLst/>
                    </a:prstGeom>
                    <a:noFill/>
                    <a:ln>
                      <a:noFill/>
                    </a:ln>
                  </pic:spPr>
                </pic:pic>
              </a:graphicData>
            </a:graphic>
          </wp:inline>
        </w:drawing>
      </w:r>
    </w:p>
    <w:p w14:paraId="54C90021" w14:textId="77777777" w:rsidR="00AB679D" w:rsidRPr="00AB679D" w:rsidRDefault="00AB679D" w:rsidP="00AB679D">
      <w:pPr>
        <w:rPr>
          <w:lang w:eastAsia="zh-CN"/>
        </w:rPr>
      </w:pPr>
    </w:p>
    <w:p w14:paraId="6A2141BF" w14:textId="77777777" w:rsidR="00AB679D" w:rsidRPr="00DA42F2" w:rsidRDefault="00AB679D" w:rsidP="00DA42F2">
      <w:pPr>
        <w:rPr>
          <w:lang w:eastAsia="zh-CN"/>
        </w:rPr>
      </w:pPr>
    </w:p>
    <w:sectPr w:rsidR="00AB679D" w:rsidRPr="00DA42F2">
      <w:pgSz w:w="12240" w:h="15840"/>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46036"/>
    <w:multiLevelType w:val="multilevel"/>
    <w:tmpl w:val="67AC88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A6C"/>
    <w:rsid w:val="00063583"/>
    <w:rsid w:val="00080661"/>
    <w:rsid w:val="000C66E2"/>
    <w:rsid w:val="00171046"/>
    <w:rsid w:val="001A2A0B"/>
    <w:rsid w:val="001B4199"/>
    <w:rsid w:val="001B72AD"/>
    <w:rsid w:val="001D6677"/>
    <w:rsid w:val="00240BC1"/>
    <w:rsid w:val="002468D2"/>
    <w:rsid w:val="0026462F"/>
    <w:rsid w:val="002670B4"/>
    <w:rsid w:val="002844FA"/>
    <w:rsid w:val="002D3602"/>
    <w:rsid w:val="00342D1F"/>
    <w:rsid w:val="00345773"/>
    <w:rsid w:val="00351D62"/>
    <w:rsid w:val="00386033"/>
    <w:rsid w:val="003E1B5E"/>
    <w:rsid w:val="003E61F8"/>
    <w:rsid w:val="00410D93"/>
    <w:rsid w:val="004177E5"/>
    <w:rsid w:val="004A34F9"/>
    <w:rsid w:val="004B42A1"/>
    <w:rsid w:val="004F5E4E"/>
    <w:rsid w:val="00513830"/>
    <w:rsid w:val="0054498D"/>
    <w:rsid w:val="00590898"/>
    <w:rsid w:val="005972E4"/>
    <w:rsid w:val="00603BB7"/>
    <w:rsid w:val="0064397D"/>
    <w:rsid w:val="00673D04"/>
    <w:rsid w:val="00685FA6"/>
    <w:rsid w:val="006C17D2"/>
    <w:rsid w:val="006C65A2"/>
    <w:rsid w:val="0071444E"/>
    <w:rsid w:val="0074765F"/>
    <w:rsid w:val="00763305"/>
    <w:rsid w:val="00777734"/>
    <w:rsid w:val="00783339"/>
    <w:rsid w:val="00875933"/>
    <w:rsid w:val="008A21A1"/>
    <w:rsid w:val="008D553A"/>
    <w:rsid w:val="008F3D0B"/>
    <w:rsid w:val="0096519D"/>
    <w:rsid w:val="009E0C9E"/>
    <w:rsid w:val="00A03816"/>
    <w:rsid w:val="00A0523C"/>
    <w:rsid w:val="00AB4AC3"/>
    <w:rsid w:val="00AB679D"/>
    <w:rsid w:val="00B102FF"/>
    <w:rsid w:val="00B213E2"/>
    <w:rsid w:val="00B334D1"/>
    <w:rsid w:val="00BF6989"/>
    <w:rsid w:val="00BF6FBD"/>
    <w:rsid w:val="00C15601"/>
    <w:rsid w:val="00CA7FE2"/>
    <w:rsid w:val="00CD21CA"/>
    <w:rsid w:val="00CF2A6C"/>
    <w:rsid w:val="00CF5BD7"/>
    <w:rsid w:val="00D04235"/>
    <w:rsid w:val="00D11B20"/>
    <w:rsid w:val="00D576F5"/>
    <w:rsid w:val="00DA42F2"/>
    <w:rsid w:val="00DB05C8"/>
    <w:rsid w:val="00DB5E14"/>
    <w:rsid w:val="00DC6B40"/>
    <w:rsid w:val="00DF575B"/>
    <w:rsid w:val="00E16C47"/>
    <w:rsid w:val="00E874AD"/>
    <w:rsid w:val="00E95BF0"/>
    <w:rsid w:val="00EA1D83"/>
    <w:rsid w:val="00EF229D"/>
    <w:rsid w:val="00F120A7"/>
    <w:rsid w:val="00F13D9D"/>
    <w:rsid w:val="00F15DC9"/>
    <w:rsid w:val="00F220E0"/>
    <w:rsid w:val="00F27D22"/>
    <w:rsid w:val="00F36441"/>
    <w:rsid w:val="00F63F00"/>
    <w:rsid w:val="00F642E9"/>
    <w:rsid w:val="00F74493"/>
    <w:rsid w:val="00FA17A6"/>
    <w:rsid w:val="00FB3B5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E2D3E"/>
  <w15:docId w15:val="{B30D2B49-7A54-4FDB-8B59-6689F4299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9F4"/>
    <w:pPr>
      <w:spacing w:after="160" w:line="259" w:lineRule="auto"/>
    </w:pPr>
    <w:rPr>
      <w:color w:val="00000A"/>
      <w:sz w:val="22"/>
    </w:rPr>
  </w:style>
  <w:style w:type="paragraph" w:styleId="Heading1">
    <w:name w:val="heading 1"/>
    <w:basedOn w:val="Heading"/>
    <w:next w:val="Normal"/>
    <w:link w:val="Heading1Ch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C96F92"/>
    <w:pPr>
      <w:numPr>
        <w:ilvl w:val="1"/>
      </w:numPr>
      <w:spacing w:before="180"/>
      <w:outlineLvl w:val="1"/>
    </w:pPr>
    <w:rPr>
      <w:sz w:val="32"/>
      <w:szCs w:val="32"/>
    </w:rPr>
  </w:style>
  <w:style w:type="paragraph" w:styleId="Heading3">
    <w:name w:val="heading 3"/>
    <w:basedOn w:val="Heading2"/>
    <w:next w:val="Normal"/>
    <w:link w:val="Heading3Char"/>
    <w:qFormat/>
    <w:rsid w:val="00C96F92"/>
    <w:pPr>
      <w:numPr>
        <w:ilvl w:val="2"/>
      </w:numPr>
      <w:spacing w:before="120"/>
      <w:outlineLvl w:val="2"/>
    </w:pPr>
    <w:rPr>
      <w:sz w:val="28"/>
      <w:szCs w:val="28"/>
    </w:rPr>
  </w:style>
  <w:style w:type="paragraph" w:styleId="Heading4">
    <w:name w:val="heading 4"/>
    <w:basedOn w:val="Heading3"/>
    <w:next w:val="Normal"/>
    <w:link w:val="Heading4Char"/>
    <w:qFormat/>
    <w:rsid w:val="00C96F92"/>
    <w:pPr>
      <w:numPr>
        <w:ilvl w:val="3"/>
      </w:numPr>
      <w:outlineLvl w:val="3"/>
    </w:pPr>
    <w:rPr>
      <w:sz w:val="24"/>
      <w:szCs w:val="24"/>
    </w:rPr>
  </w:style>
  <w:style w:type="paragraph" w:styleId="Heading5">
    <w:name w:val="heading 5"/>
    <w:basedOn w:val="Heading4"/>
    <w:next w:val="Normal"/>
    <w:link w:val="Heading5Char"/>
    <w:qFormat/>
    <w:rsid w:val="00C96F92"/>
    <w:pPr>
      <w:numPr>
        <w:ilvl w:val="4"/>
      </w:numPr>
      <w:outlineLvl w:val="4"/>
    </w:pPr>
    <w:rPr>
      <w:sz w:val="22"/>
      <w:szCs w:val="22"/>
    </w:rPr>
  </w:style>
  <w:style w:type="paragraph" w:styleId="Heading6">
    <w:name w:val="heading 6"/>
    <w:basedOn w:val="Normal"/>
    <w:next w:val="Normal"/>
    <w:link w:val="Heading6Ch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C96F92"/>
    <w:pPr>
      <w:numPr>
        <w:ilvl w:val="7"/>
      </w:numPr>
      <w:outlineLvl w:val="7"/>
    </w:pPr>
  </w:style>
  <w:style w:type="paragraph" w:styleId="Heading9">
    <w:name w:val="heading 9"/>
    <w:basedOn w:val="Heading8"/>
    <w:next w:val="Normal"/>
    <w:link w:val="Heading9Char"/>
    <w:qFormat/>
    <w:rsid w:val="00C96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96F92"/>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sid w:val="00C96F9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C96F92"/>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C96F92"/>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C96F92"/>
    <w:rPr>
      <w:rFonts w:ascii="Arial" w:eastAsia="Times New Roman" w:hAnsi="Arial" w:cs="Arial"/>
      <w:lang w:val="en-GB" w:eastAsia="zh-CN"/>
    </w:rPr>
  </w:style>
  <w:style w:type="character" w:customStyle="1" w:styleId="Heading6Char">
    <w:name w:val="Heading 6 Char"/>
    <w:basedOn w:val="DefaultParagraphFont"/>
    <w:link w:val="Heading6"/>
    <w:qFormat/>
    <w:rsid w:val="00C96F92"/>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C96F92"/>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C96F92"/>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C96F92"/>
    <w:rPr>
      <w:rFonts w:ascii="Arial" w:eastAsia="Times New Roman" w:hAnsi="Arial" w:cs="Arial"/>
      <w:sz w:val="20"/>
      <w:szCs w:val="20"/>
      <w:lang w:val="en-GB" w:eastAsia="zh-CN"/>
    </w:rPr>
  </w:style>
  <w:style w:type="character" w:customStyle="1" w:styleId="HeaderChar">
    <w:name w:val="Header Char"/>
    <w:basedOn w:val="DefaultParagraphFont"/>
    <w:link w:val="Header"/>
    <w:qFormat/>
    <w:rsid w:val="00C96F92"/>
  </w:style>
  <w:style w:type="character" w:customStyle="1" w:styleId="BalloonTextChar">
    <w:name w:val="Balloon Text Char"/>
    <w:basedOn w:val="DefaultParagraphFont"/>
    <w:link w:val="BalloonText"/>
    <w:uiPriority w:val="99"/>
    <w:semiHidden/>
    <w:qFormat/>
    <w:rsid w:val="00C463FA"/>
    <w:rPr>
      <w:rFonts w:ascii="Tahoma" w:hAnsi="Tahoma" w:cs="Tahoma"/>
      <w:sz w:val="16"/>
      <w:szCs w:val="16"/>
    </w:rPr>
  </w:style>
  <w:style w:type="paragraph" w:customStyle="1" w:styleId="Heading">
    <w:name w:val="Heading"/>
    <w:basedOn w:val="Normal"/>
    <w:next w:val="BodyText"/>
    <w:qFormat/>
    <w:rsid w:val="00C609F4"/>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C609F4"/>
    <w:pPr>
      <w:spacing w:after="140" w:line="288" w:lineRule="auto"/>
    </w:pPr>
  </w:style>
  <w:style w:type="paragraph" w:styleId="List">
    <w:name w:val="List"/>
    <w:basedOn w:val="BodyText"/>
    <w:rsid w:val="00C609F4"/>
    <w:rPr>
      <w:rFonts w:cs="Lohit Devanagari"/>
    </w:rPr>
  </w:style>
  <w:style w:type="paragraph" w:styleId="Caption">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Header">
    <w:name w:val="header"/>
    <w:basedOn w:val="Normal"/>
    <w:link w:val="HeaderChar"/>
    <w:unhideWhenUsed/>
    <w:rsid w:val="00C96F92"/>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C463FA"/>
    <w:pPr>
      <w:spacing w:after="0" w:line="240" w:lineRule="auto"/>
    </w:pPr>
    <w:rPr>
      <w:rFonts w:ascii="Tahoma" w:hAnsi="Tahoma" w:cs="Tahoma"/>
      <w:sz w:val="16"/>
      <w:szCs w:val="16"/>
    </w:rPr>
  </w:style>
  <w:style w:type="table" w:styleId="TableGrid">
    <w:name w:val="Table Grid"/>
    <w:basedOn w:val="TableNormal"/>
    <w:uiPriority w:val="3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DC9"/>
    <w:rPr>
      <w:color w:val="0563C1" w:themeColor="hyperlink"/>
      <w:u w:val="single"/>
    </w:rPr>
  </w:style>
  <w:style w:type="paragraph" w:styleId="ListParagraph">
    <w:name w:val="List Paragraph"/>
    <w:basedOn w:val="Normal"/>
    <w:uiPriority w:val="34"/>
    <w:qFormat/>
    <w:rsid w:val="00F27D22"/>
    <w:pPr>
      <w:ind w:left="720"/>
      <w:contextualSpacing/>
    </w:pPr>
  </w:style>
  <w:style w:type="character" w:styleId="CommentReference">
    <w:name w:val="annotation reference"/>
    <w:basedOn w:val="DefaultParagraphFont"/>
    <w:uiPriority w:val="99"/>
    <w:semiHidden/>
    <w:unhideWhenUsed/>
    <w:rsid w:val="00FA17A6"/>
    <w:rPr>
      <w:sz w:val="16"/>
      <w:szCs w:val="16"/>
    </w:rPr>
  </w:style>
  <w:style w:type="paragraph" w:styleId="CommentText">
    <w:name w:val="annotation text"/>
    <w:basedOn w:val="Normal"/>
    <w:link w:val="CommentTextChar"/>
    <w:uiPriority w:val="99"/>
    <w:semiHidden/>
    <w:unhideWhenUsed/>
    <w:rsid w:val="00C15601"/>
    <w:pPr>
      <w:spacing w:line="240" w:lineRule="auto"/>
    </w:pPr>
    <w:rPr>
      <w:sz w:val="20"/>
      <w:szCs w:val="20"/>
    </w:rPr>
  </w:style>
  <w:style w:type="character" w:customStyle="1" w:styleId="CommentTextChar">
    <w:name w:val="Comment Text Char"/>
    <w:basedOn w:val="DefaultParagraphFont"/>
    <w:link w:val="CommentText"/>
    <w:uiPriority w:val="99"/>
    <w:semiHidden/>
    <w:rsid w:val="00C15601"/>
    <w:rPr>
      <w:color w:val="00000A"/>
      <w:szCs w:val="20"/>
    </w:rPr>
  </w:style>
  <w:style w:type="paragraph" w:styleId="CommentSubject">
    <w:name w:val="annotation subject"/>
    <w:basedOn w:val="CommentText"/>
    <w:next w:val="CommentText"/>
    <w:link w:val="CommentSubjectChar"/>
    <w:uiPriority w:val="99"/>
    <w:semiHidden/>
    <w:unhideWhenUsed/>
    <w:rsid w:val="00C15601"/>
    <w:rPr>
      <w:b/>
      <w:bCs/>
    </w:rPr>
  </w:style>
  <w:style w:type="character" w:customStyle="1" w:styleId="CommentSubjectChar">
    <w:name w:val="Comment Subject Char"/>
    <w:basedOn w:val="CommentTextChar"/>
    <w:link w:val="CommentSubject"/>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35E24.BE846E6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3</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Eroz, Mustafa</dc:creator>
  <dc:description/>
  <cp:lastModifiedBy>Lee, Lin-Nan</cp:lastModifiedBy>
  <cp:revision>21</cp:revision>
  <cp:lastPrinted>2017-11-17T23:37:00Z</cp:lastPrinted>
  <dcterms:created xsi:type="dcterms:W3CDTF">2017-11-12T04:13:00Z</dcterms:created>
  <dcterms:modified xsi:type="dcterms:W3CDTF">2017-12-08T16:41:00Z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